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F19" w:rsidRPr="00AF5F19" w:rsidRDefault="00AF5F19" w:rsidP="00AF5F19">
      <w:pPr>
        <w:widowControl w:val="0"/>
        <w:spacing w:after="0" w:line="240" w:lineRule="auto"/>
        <w:ind w:left="0" w:right="0" w:firstLine="0"/>
        <w:jc w:val="both"/>
        <w:rPr>
          <w:rFonts w:hAnsi="Century" w:cs="Times New Roman" w:hint="eastAsia"/>
          <w:color w:val="auto"/>
          <w:sz w:val="21"/>
        </w:rPr>
      </w:pPr>
      <w:bookmarkStart w:id="0" w:name="_Hlk98226642"/>
    </w:p>
    <w:p w:rsidR="00AF5F19" w:rsidRPr="00AF5F19" w:rsidRDefault="00AF5F19" w:rsidP="00AF5F19">
      <w:pPr>
        <w:widowControl w:val="0"/>
        <w:spacing w:after="0" w:line="240" w:lineRule="auto"/>
        <w:ind w:left="0" w:right="0" w:firstLineChars="100" w:firstLine="240"/>
        <w:rPr>
          <w:rFonts w:ascii="ＭＳ ゴシック" w:eastAsia="ＭＳ ゴシック" w:hAnsi="ＭＳ ゴシック" w:cs="Times New Roman"/>
          <w:color w:val="auto"/>
          <w:sz w:val="24"/>
          <w:szCs w:val="28"/>
        </w:rPr>
      </w:pPr>
      <w:r w:rsidRPr="00AF5F19">
        <w:rPr>
          <w:rFonts w:ascii="ＭＳ ゴシック" w:eastAsia="ＭＳ ゴシック" w:hAnsi="ＭＳ ゴシック" w:cs="Times New Roman" w:hint="eastAsia"/>
          <w:color w:val="auto"/>
          <w:sz w:val="24"/>
          <w:szCs w:val="28"/>
        </w:rPr>
        <w:t>伐採及び集材に係るチェックリスト</w:t>
      </w:r>
    </w:p>
    <w:p w:rsidR="00AF5F19" w:rsidRPr="00AF5F19" w:rsidRDefault="00351711" w:rsidP="00AF5F19">
      <w:pPr>
        <w:widowControl w:val="0"/>
        <w:spacing w:after="0" w:line="360" w:lineRule="auto"/>
        <w:ind w:left="0" w:right="0" w:firstLine="0"/>
        <w:jc w:val="right"/>
        <w:rPr>
          <w:rFonts w:ascii="ＭＳ ゴシック" w:eastAsia="ＭＳ ゴシック" w:hAnsi="ＭＳ ゴシック" w:cs="Times New Roman"/>
          <w:color w:val="auto"/>
          <w:sz w:val="24"/>
          <w:szCs w:val="28"/>
        </w:rPr>
      </w:pPr>
      <w:r>
        <w:rPr>
          <w:rFonts w:hAnsi="Century" w:cs="Times New Roman" w:hint="eastAsia"/>
          <w:color w:val="auto"/>
          <w:sz w:val="21"/>
          <w:u w:val="single"/>
        </w:rPr>
        <w:t xml:space="preserve">令和　</w:t>
      </w:r>
      <w:r w:rsidR="00AF5F19" w:rsidRPr="00AF5F19">
        <w:rPr>
          <w:rFonts w:hAnsi="Century" w:cs="Times New Roman" w:hint="eastAsia"/>
          <w:color w:val="auto"/>
          <w:sz w:val="21"/>
          <w:u w:val="single"/>
        </w:rPr>
        <w:t xml:space="preserve">　年　</w:t>
      </w:r>
      <w:r>
        <w:rPr>
          <w:rFonts w:hAnsi="Century" w:cs="Times New Roman" w:hint="eastAsia"/>
          <w:color w:val="auto"/>
          <w:sz w:val="21"/>
          <w:u w:val="single"/>
        </w:rPr>
        <w:t xml:space="preserve">　</w:t>
      </w:r>
      <w:r w:rsidR="00AF5F19" w:rsidRPr="00AF5F19">
        <w:rPr>
          <w:rFonts w:hAnsi="Century" w:cs="Times New Roman" w:hint="eastAsia"/>
          <w:color w:val="auto"/>
          <w:sz w:val="21"/>
          <w:u w:val="single"/>
        </w:rPr>
        <w:t xml:space="preserve">　月　　日</w:t>
      </w:r>
    </w:p>
    <w:p w:rsidR="00AF5F19" w:rsidRPr="001E6454" w:rsidRDefault="001E6454" w:rsidP="00AF5F19">
      <w:pPr>
        <w:widowControl w:val="0"/>
        <w:spacing w:after="0" w:line="360" w:lineRule="auto"/>
        <w:ind w:left="0" w:right="0" w:firstLineChars="100" w:firstLine="210"/>
        <w:jc w:val="both"/>
        <w:rPr>
          <w:rFonts w:hAnsi="Century" w:cs="Times New Roman"/>
          <w:color w:val="auto"/>
          <w:sz w:val="21"/>
        </w:rPr>
      </w:pPr>
      <w:r>
        <w:rPr>
          <w:rFonts w:hAnsi="Century" w:cs="Times New Roman" w:hint="eastAsia"/>
          <w:noProof/>
          <w:color w:val="auto"/>
          <w:sz w:val="21"/>
        </w:rPr>
        <mc:AlternateContent>
          <mc:Choice Requires="wps">
            <w:drawing>
              <wp:anchor distT="0" distB="0" distL="114300" distR="114300" simplePos="0" relativeHeight="251667968" behindDoc="0" locked="0" layoutInCell="1" allowOverlap="1">
                <wp:simplePos x="0" y="0"/>
                <wp:positionH relativeFrom="column">
                  <wp:posOffset>137795</wp:posOffset>
                </wp:positionH>
                <wp:positionV relativeFrom="paragraph">
                  <wp:posOffset>179705</wp:posOffset>
                </wp:positionV>
                <wp:extent cx="2268000"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226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D46C4" id="直線コネクタ 1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14.15pt" to="189.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" strokecolor="black [3213]" strokeweight=".5pt">
                <v:stroke joinstyle="miter"/>
              </v:line>
            </w:pict>
          </mc:Fallback>
        </mc:AlternateContent>
      </w:r>
      <w:r w:rsidR="00AF5F19" w:rsidRPr="001E6454">
        <w:rPr>
          <w:rFonts w:hAnsi="Century" w:cs="Times New Roman" w:hint="eastAsia"/>
          <w:color w:val="auto"/>
          <w:sz w:val="21"/>
        </w:rPr>
        <w:t>伐採する者</w:t>
      </w:r>
      <w:r>
        <w:rPr>
          <w:rFonts w:hAnsi="Century" w:cs="Times New Roman" w:hint="eastAsia"/>
          <w:color w:val="auto"/>
          <w:sz w:val="21"/>
        </w:rPr>
        <w:t>：</w:t>
      </w:r>
      <w:r w:rsidR="00787970" w:rsidRPr="001E6454">
        <w:rPr>
          <w:rFonts w:hAnsi="Century" w:cs="Times New Roman" w:hint="eastAsia"/>
          <w:color w:val="auto"/>
          <w:sz w:val="21"/>
        </w:rPr>
        <w:t xml:space="preserve">　　　　　　　　　　　　　　　　　　　　　　　　　　　　　　　　　　　　　　　　　　　　</w:t>
      </w:r>
      <w:r w:rsidR="00AF5F19" w:rsidRPr="001E6454">
        <w:rPr>
          <w:rFonts w:hAnsi="Century" w:cs="Times New Roman" w:hint="eastAsia"/>
          <w:color w:val="auto"/>
          <w:sz w:val="21"/>
        </w:rPr>
        <w:t xml:space="preserve">　　　　　　　　　　　　　　　　　　　　　　　</w:t>
      </w:r>
    </w:p>
    <w:p w:rsidR="001E6454" w:rsidRDefault="00AF5F19" w:rsidP="001E6454">
      <w:pPr>
        <w:widowControl w:val="0"/>
        <w:spacing w:after="0" w:line="400" w:lineRule="exact"/>
        <w:ind w:left="0" w:right="0" w:firstLineChars="100" w:firstLine="210"/>
        <w:jc w:val="both"/>
        <w:rPr>
          <w:rFonts w:hAnsi="Century" w:cs="Times New Roman"/>
          <w:color w:val="auto"/>
          <w:sz w:val="21"/>
        </w:rPr>
      </w:pPr>
      <w:r w:rsidRPr="001E6454">
        <w:rPr>
          <w:rFonts w:hAnsi="Century" w:cs="Times New Roman" w:hint="eastAsia"/>
          <w:color w:val="auto"/>
          <w:sz w:val="21"/>
        </w:rPr>
        <w:t>森林の所在場所：</w:t>
      </w:r>
      <w:r w:rsidR="00787970" w:rsidRPr="001E6454">
        <w:rPr>
          <w:rFonts w:hAnsi="Century" w:cs="Times New Roman" w:hint="eastAsia"/>
          <w:color w:val="auto"/>
          <w:sz w:val="21"/>
        </w:rPr>
        <w:t>沼田市　　　　町　　　　字　　　　番</w:t>
      </w:r>
      <w:r w:rsidR="00CD18A5" w:rsidRPr="001E6454">
        <w:rPr>
          <w:rFonts w:hAnsi="Century" w:cs="Times New Roman" w:hint="eastAsia"/>
          <w:color w:val="auto"/>
          <w:sz w:val="21"/>
        </w:rPr>
        <w:t xml:space="preserve">　</w:t>
      </w:r>
      <w:r w:rsidR="00787970" w:rsidRPr="001E6454">
        <w:rPr>
          <w:rFonts w:hAnsi="Century" w:cs="Times New Roman" w:hint="eastAsia"/>
          <w:color w:val="auto"/>
          <w:sz w:val="21"/>
        </w:rPr>
        <w:t xml:space="preserve">　</w:t>
      </w:r>
    </w:p>
    <w:p w:rsidR="00AF5F19" w:rsidRPr="001E6454" w:rsidRDefault="001E6454" w:rsidP="001E6454">
      <w:pPr>
        <w:widowControl w:val="0"/>
        <w:spacing w:after="0" w:line="400" w:lineRule="exact"/>
        <w:ind w:left="0" w:right="0" w:firstLineChars="100" w:firstLine="210"/>
        <w:jc w:val="both"/>
        <w:rPr>
          <w:rFonts w:hAnsi="Century" w:cs="Times New Roman"/>
          <w:color w:val="auto"/>
          <w:sz w:val="21"/>
        </w:rPr>
      </w:pPr>
      <w:r>
        <w:rPr>
          <w:rFonts w:hAnsi="Century" w:cs="Times New Roman" w:hint="eastAsia"/>
          <w:noProof/>
          <w:color w:val="auto"/>
          <w:sz w:val="21"/>
        </w:rPr>
        <mc:AlternateContent>
          <mc:Choice Requires="wps">
            <w:drawing>
              <wp:anchor distT="0" distB="0" distL="114300" distR="114300" simplePos="0" relativeHeight="251670016" behindDoc="0" locked="0" layoutInCell="1" allowOverlap="1" wp14:anchorId="0F048044" wp14:editId="3AB960A8">
                <wp:simplePos x="0" y="0"/>
                <wp:positionH relativeFrom="column">
                  <wp:posOffset>137795</wp:posOffset>
                </wp:positionH>
                <wp:positionV relativeFrom="paragraph">
                  <wp:posOffset>18415</wp:posOffset>
                </wp:positionV>
                <wp:extent cx="453600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45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7B927" id="直線コネクタ 20"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1.45pt" to="3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" strokecolor="black [3213]" strokeweight=".5pt">
                <v:stroke joinstyle="miter"/>
              </v:line>
            </w:pict>
          </mc:Fallback>
        </mc:AlternateContent>
      </w:r>
      <w:r w:rsidR="00787970" w:rsidRPr="001E6454">
        <w:rPr>
          <w:rFonts w:hAnsi="Century" w:cs="Times New Roman" w:hint="eastAsia"/>
          <w:color w:val="auto"/>
          <w:sz w:val="21"/>
        </w:rPr>
        <w:t xml:space="preserve">　　　　　　　</w:t>
      </w:r>
      <w:r w:rsidR="00AF5F19" w:rsidRPr="001E6454">
        <w:rPr>
          <w:rFonts w:hAnsi="Century" w:cs="Times New Roman" w:hint="eastAsia"/>
          <w:color w:val="auto"/>
          <w:sz w:val="21"/>
        </w:rPr>
        <w:t xml:space="preserve">　　　　　　　　　　　　　　　　　　　　　</w:t>
      </w:r>
    </w:p>
    <w:tbl>
      <w:tblPr>
        <w:tblStyle w:val="2"/>
        <w:tblW w:w="9355" w:type="dxa"/>
        <w:tblInd w:w="279" w:type="dxa"/>
        <w:tblLook w:val="04A0" w:firstRow="1" w:lastRow="0" w:firstColumn="1" w:lastColumn="0" w:noHBand="0" w:noVBand="1"/>
      </w:tblPr>
      <w:tblGrid>
        <w:gridCol w:w="8505"/>
        <w:gridCol w:w="850"/>
      </w:tblGrid>
      <w:tr w:rsidR="00AF5F19" w:rsidRPr="00AF5F19" w:rsidTr="00AF5F19">
        <w:trPr>
          <w:trHeight w:val="444"/>
        </w:trPr>
        <w:tc>
          <w:tcPr>
            <w:tcW w:w="8505" w:type="dxa"/>
            <w:tcBorders>
              <w:top w:val="single" w:sz="4" w:space="0" w:color="000000"/>
              <w:left w:val="single" w:sz="4" w:space="0" w:color="000000"/>
              <w:bottom w:val="single" w:sz="4" w:space="0" w:color="000000"/>
              <w:right w:val="single" w:sz="4" w:space="0" w:color="000000"/>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Cs w:val="24"/>
              </w:rPr>
              <w:t>チェック項目</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Cs w:val="24"/>
              </w:rPr>
              <w:t>確認</w:t>
            </w:r>
          </w:p>
        </w:tc>
      </w:tr>
      <w:tr w:rsidR="00AF5F19" w:rsidRPr="00AF5F19" w:rsidTr="00AF5F19">
        <w:trPr>
          <w:trHeight w:val="1807"/>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（１）伐採の方法及び区域の設定</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①森林所有者に対し再造林の必要性を説明しその実施に向けた意識向上を図るとともに、伐採と造林の一貫作業の導入など作業効率の向上に努める。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②林地や生物多様性の保全に配慮した伐採方法を採用する。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③伐採する区域の明確化を行う。</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④林地や生物多様性の保全に配慮し、保護樹帯や保残木を設定するとともに、それらに架線や集材路を通過させる場合は影響範囲を最小限にする。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⑤伐採が大面積にならないよう、伐採区域の複数分割、帯状・群状伐採などにより、伐採を空間的・時間的に分散させる。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F5F19" w:rsidRPr="00AF5F19" w:rsidRDefault="00AF5F19" w:rsidP="00AF5F19">
            <w:pPr>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3850"/>
        </w:trPr>
        <w:tc>
          <w:tcPr>
            <w:tcW w:w="8505" w:type="dxa"/>
            <w:tcBorders>
              <w:top w:val="single" w:sz="4" w:space="0" w:color="000000"/>
              <w:left w:val="single" w:sz="4" w:space="0" w:color="000000"/>
              <w:bottom w:val="single" w:sz="4" w:space="0" w:color="000000"/>
              <w:right w:val="single" w:sz="4" w:space="0" w:color="000000"/>
            </w:tcBorders>
          </w:tcPr>
          <w:p w:rsidR="00AF5F19" w:rsidRPr="00AF5F19" w:rsidRDefault="00AF5F19" w:rsidP="00AF5F19">
            <w:pPr>
              <w:widowControl w:val="0"/>
              <w:spacing w:after="0" w:line="240" w:lineRule="auto"/>
              <w:ind w:left="0" w:right="0" w:firstLine="0"/>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（２）林地保全に配慮した集材路</w:t>
            </w:r>
            <w:r w:rsidRPr="00AF5F19">
              <w:rPr>
                <w:rFonts w:ascii="ＭＳ ゴシック" w:eastAsia="ＭＳ ゴシック" w:hAnsi="ＭＳ ゴシック" w:cs="Times New Roman" w:hint="eastAsia"/>
                <w:color w:val="auto"/>
                <w:szCs w:val="24"/>
                <w:vertAlign w:val="superscript"/>
              </w:rPr>
              <w:t>注１）</w:t>
            </w:r>
            <w:r w:rsidRPr="00AF5F19">
              <w:rPr>
                <w:rFonts w:ascii="ＭＳ ゴシック" w:eastAsia="ＭＳ ゴシック" w:hAnsi="ＭＳ ゴシック" w:cs="Times New Roman" w:hint="eastAsia"/>
                <w:color w:val="auto"/>
                <w:szCs w:val="24"/>
              </w:rPr>
              <w:t>・土場の配置・作設</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①集材路・土場の作設によって土砂の流出・崩壊が発生しないよう集材方法や使用機械を選定し、集材路・土場の配置を必要最小限にする。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②地形等の条件に応じて、路網と架線を適切に組み合わせる。また、集材路の作設等により林地の崩壊を引き起こすおそれがある場合等の伐採・搬出は、架線集材とする。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③土場の作設では法面を丸太組みで支える等の対策を講じる。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④現場の状況に応じて、集材路・土場の配置に係る計画の変更を行う。</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⑤集材路の線形は、極力等高線に合わせる。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⑥ヘアピンカーブは地盤の安定した箇所に設置する。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⑦集材路・土場は渓流から距離を置いて配置する。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⑧集材路は、沢筋を横断する箇所が少なくなるよう配置する。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⑨伐採現場の土質が粘性土の場合は、集材路・土場の作設を避ける。やむを得ず作設する場合は、土砂が渓流に流出しない工夫をする。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⑩伐採区域のみで集材路の適切な配置が困難な場合には、隣接地を経由することとし、隣接地の森林所有者等と調整を行う。</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⑪森林整備や木材の搬出のために継続的に用いる道を作設する場合は、森林作業道作設指針</w:t>
            </w:r>
            <w:r w:rsidRPr="00AF5F19">
              <w:rPr>
                <w:rFonts w:cs="Times New Roman" w:hint="eastAsia"/>
                <w:color w:val="auto"/>
                <w:szCs w:val="24"/>
                <w:vertAlign w:val="superscript"/>
              </w:rPr>
              <w:t>注２）</w:t>
            </w:r>
            <w:r w:rsidRPr="00AF5F19">
              <w:rPr>
                <w:rFonts w:cs="Times New Roman" w:hint="eastAsia"/>
                <w:color w:val="auto"/>
                <w:szCs w:val="24"/>
              </w:rPr>
              <w:t>に基づく森林作業道として作設する。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⑫幅員が３ｍを超える集材路又は森林作業道を作設する場合は、その面積が１haを超えていない。</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p>
          <w:p w:rsidR="00AF5F19" w:rsidRPr="00AF5F19" w:rsidRDefault="00AF5F19" w:rsidP="00AF5F19">
            <w:pPr>
              <w:widowControl w:val="0"/>
              <w:spacing w:after="0" w:line="240" w:lineRule="auto"/>
              <w:ind w:leftChars="150" w:left="510" w:right="0" w:hangingChars="100" w:hanging="180"/>
              <w:jc w:val="both"/>
              <w:rPr>
                <w:rFonts w:cs="Times New Roman"/>
                <w:color w:val="auto"/>
                <w:sz w:val="18"/>
              </w:rPr>
            </w:pPr>
            <w:r w:rsidRPr="00AF5F19">
              <w:rPr>
                <w:rFonts w:cs="Times New Roman" w:hint="eastAsia"/>
                <w:color w:val="auto"/>
                <w:sz w:val="18"/>
              </w:rPr>
              <w:t>注１）集材路：立木の伐採、搬出等のために林業機械等が一時的に走行することを目的として作設する仮施設（道）（森林整備のために継続的に用いる道は森林作業道として集材路と区別する）。</w:t>
            </w:r>
          </w:p>
          <w:p w:rsidR="00AF5F19" w:rsidRPr="00AF5F19" w:rsidRDefault="00AF5F19" w:rsidP="00AF5F19">
            <w:pPr>
              <w:widowControl w:val="0"/>
              <w:spacing w:after="0" w:line="240" w:lineRule="auto"/>
              <w:ind w:leftChars="150" w:left="510" w:right="0" w:hangingChars="100" w:hanging="180"/>
              <w:jc w:val="both"/>
              <w:rPr>
                <w:rFonts w:cs="Times New Roman"/>
                <w:color w:val="auto"/>
                <w:szCs w:val="24"/>
              </w:rPr>
            </w:pPr>
            <w:r w:rsidRPr="00AF5F19">
              <w:rPr>
                <w:rFonts w:cs="Times New Roman" w:hint="eastAsia"/>
                <w:color w:val="auto"/>
                <w:sz w:val="18"/>
              </w:rPr>
              <w:t>注２）「森林作業道作設指針の制定について」（平成22年11月17日付け林整第656号林野庁長官通知）</w:t>
            </w:r>
          </w:p>
        </w:tc>
        <w:tc>
          <w:tcPr>
            <w:tcW w:w="850" w:type="dxa"/>
            <w:tcBorders>
              <w:top w:val="single" w:sz="4" w:space="0" w:color="auto"/>
              <w:left w:val="single" w:sz="4" w:space="0" w:color="auto"/>
              <w:bottom w:val="single" w:sz="4" w:space="0" w:color="000000"/>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1553"/>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（３）人家、道路、取水口周辺等での配慮</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①集材路・土場の作設時には保全対象の上方に丸太柵工等を設置する。特に、人家、道路等の重要な保全対象が下にある場合には、その直上では集材路・土場を作設しない。</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②水道の取水口の周辺では集材路・土場を作設しない。</w:t>
            </w:r>
          </w:p>
        </w:tc>
        <w:tc>
          <w:tcPr>
            <w:tcW w:w="850" w:type="dxa"/>
            <w:tcBorders>
              <w:top w:val="single" w:sz="4" w:space="0" w:color="auto"/>
              <w:left w:val="single" w:sz="4" w:space="0" w:color="auto"/>
              <w:bottom w:val="single" w:sz="4" w:space="0" w:color="000000"/>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1233"/>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lastRenderedPageBreak/>
              <w:t>（４）生物多様性と景観への配慮</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①希少な野生生物の生息・生育を知った場合には、線形及び作業の時期の変更等の対策を講じる。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1832"/>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（５）切土・盛土</w:t>
            </w:r>
          </w:p>
          <w:p w:rsidR="00AF5F19" w:rsidRPr="00AF5F19" w:rsidRDefault="00AF5F19" w:rsidP="00AF5F19">
            <w:pPr>
              <w:widowControl w:val="0"/>
              <w:spacing w:after="0" w:line="240" w:lineRule="auto"/>
              <w:ind w:leftChars="150" w:left="550" w:right="0" w:hangingChars="100" w:hanging="220"/>
              <w:rPr>
                <w:rFonts w:cs="Times New Roman"/>
                <w:color w:val="auto"/>
                <w:szCs w:val="24"/>
              </w:rPr>
            </w:pPr>
            <w:r w:rsidRPr="00AF5F19">
              <w:rPr>
                <w:rFonts w:cs="Times New Roman" w:hint="eastAsia"/>
                <w:color w:val="auto"/>
                <w:szCs w:val="24"/>
              </w:rPr>
              <w:t>①集材路の幅及び土場の広さは作業の安全を確保できる必要最小限とする。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②切土高を極力低く抑える。盛土はしっかり絞め固め、必要な場合には、丸太組み工等を活用する。</w:t>
            </w:r>
          </w:p>
          <w:p w:rsidR="00AF5F19" w:rsidRPr="00AF5F19" w:rsidRDefault="00AF5F19" w:rsidP="00AF5F19">
            <w:pPr>
              <w:widowControl w:val="0"/>
              <w:spacing w:after="0" w:line="240" w:lineRule="auto"/>
              <w:ind w:leftChars="150" w:left="550" w:right="0" w:hangingChars="100" w:hanging="220"/>
              <w:rPr>
                <w:rFonts w:ascii="ＭＳ ゴシック" w:eastAsia="ＭＳ ゴシック" w:hAnsi="ＭＳ ゴシック" w:cs="Times New Roman"/>
                <w:color w:val="auto"/>
                <w:szCs w:val="24"/>
              </w:rPr>
            </w:pPr>
            <w:r w:rsidRPr="00AF5F19">
              <w:rPr>
                <w:rFonts w:cs="Times New Roman" w:hint="eastAsia"/>
                <w:color w:val="auto"/>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bottom w:val="single" w:sz="4" w:space="0" w:color="000000"/>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 w:val="44"/>
                <w:szCs w:val="48"/>
              </w:rPr>
            </w:pPr>
            <w:r w:rsidRPr="00AF5F19">
              <w:rPr>
                <w:rFonts w:cs="Times New Roman" w:hint="eastAsia"/>
                <w:color w:val="auto"/>
                <w:sz w:val="44"/>
                <w:szCs w:val="48"/>
              </w:rPr>
              <w:t>□</w:t>
            </w:r>
          </w:p>
        </w:tc>
      </w:tr>
      <w:tr w:rsidR="00AF5F19" w:rsidRPr="00AF5F19" w:rsidTr="00AF5F19">
        <w:trPr>
          <w:trHeight w:val="1290"/>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jc w:val="both"/>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（６）路面の保護と排水の処理</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①雨水による路面の洗堀・崩壊を避けるための対策を講じる。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bottom w:val="single" w:sz="4" w:space="0" w:color="000000"/>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1824"/>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jc w:val="both"/>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（７）渓流横断箇所の処理</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②洗い越しは、大きめの石材を路面に設置するなどにより安定させ、必要に応じて撤去する。</w:t>
            </w:r>
          </w:p>
        </w:tc>
        <w:tc>
          <w:tcPr>
            <w:tcW w:w="850" w:type="dxa"/>
            <w:tcBorders>
              <w:top w:val="single" w:sz="4" w:space="0" w:color="auto"/>
              <w:left w:val="single" w:sz="4" w:space="0" w:color="auto"/>
              <w:bottom w:val="single" w:sz="4" w:space="0" w:color="000000"/>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3531"/>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jc w:val="both"/>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（８）作業実行上の配慮</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①集材路・土場は、作業が終了して次の作業まで一定期間使用しない場合には、土砂の流出を防止するため、路面に枝条を敷設する等の措置を講じる。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②降雨等により路盤が多量の水分を帯びている状態では通行しない。通行する場合には、丸太等の敷設などにより、路面のわだち掘れ等を防止する。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③伐採現場が人家、道路等の上方に位置する場合には、伐倒木、丸太等の落下防止に最大限の注意をはらう。</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④伐採後の植栽作業を想定して枝条等を整理する。造林事業者が決まっている場合には、現場の後処理等の調整をする。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⑤枝条等が渓流に流出しないように対策を講じる。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2122"/>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（９）事業実施後の整理</w:t>
            </w:r>
          </w:p>
          <w:p w:rsidR="00AF5F19" w:rsidRPr="00AF5F19" w:rsidRDefault="00AF5F19" w:rsidP="00AF5F19">
            <w:pPr>
              <w:widowControl w:val="0"/>
              <w:spacing w:after="0" w:line="240" w:lineRule="auto"/>
              <w:ind w:leftChars="150" w:left="550" w:right="0" w:hangingChars="100" w:hanging="220"/>
              <w:rPr>
                <w:rFonts w:cs="Times New Roman"/>
                <w:color w:val="auto"/>
                <w:szCs w:val="24"/>
              </w:rPr>
            </w:pPr>
            <w:r w:rsidRPr="00AF5F19">
              <w:rPr>
                <w:rFonts w:cs="Times New Roman" w:hint="eastAsia"/>
                <w:color w:val="auto"/>
                <w:szCs w:val="24"/>
              </w:rPr>
              <w:t>①枝条等は木質バイオマス資材等への有効利用を検討するとともに、枝条等を伐採現場に残す場合は、渓流に流れ出たり、林地崩壊を誘発したりすることがないように、適切な場所に整理する。</w:t>
            </w:r>
          </w:p>
          <w:p w:rsidR="00AF5F19" w:rsidRPr="00AF5F19" w:rsidRDefault="00AF5F19" w:rsidP="00AF5F19">
            <w:pPr>
              <w:widowControl w:val="0"/>
              <w:spacing w:after="0" w:line="240" w:lineRule="auto"/>
              <w:ind w:leftChars="150" w:left="550" w:right="0" w:hangingChars="100" w:hanging="220"/>
              <w:rPr>
                <w:rFonts w:cs="Times New Roman"/>
                <w:color w:val="auto"/>
                <w:szCs w:val="24"/>
              </w:rPr>
            </w:pPr>
            <w:r w:rsidRPr="00AF5F19">
              <w:rPr>
                <w:rFonts w:cs="Times New Roman" w:hint="eastAsia"/>
                <w:color w:val="auto"/>
                <w:szCs w:val="24"/>
              </w:rPr>
              <w:t>②集材路・土場は植栽等により植生の回復を促す。また、溝切り等の排水処置を行う。</w:t>
            </w:r>
          </w:p>
          <w:p w:rsidR="00AF5F19" w:rsidRPr="00AF5F19" w:rsidRDefault="00AF5F19" w:rsidP="00AF5F19">
            <w:pPr>
              <w:widowControl w:val="0"/>
              <w:spacing w:after="0" w:line="240" w:lineRule="auto"/>
              <w:ind w:leftChars="150" w:left="550" w:right="0" w:hangingChars="100" w:hanging="220"/>
              <w:rPr>
                <w:rFonts w:cs="Times New Roman"/>
                <w:color w:val="auto"/>
                <w:szCs w:val="24"/>
              </w:rPr>
            </w:pPr>
            <w:r w:rsidRPr="00AF5F19">
              <w:rPr>
                <w:rFonts w:cs="Times New Roman" w:hint="eastAsia"/>
                <w:color w:val="auto"/>
                <w:szCs w:val="24"/>
              </w:rPr>
              <w:t>③伐採・搬出に使用した資材・燃料等は確実に整理、撤去する。</w:t>
            </w:r>
          </w:p>
          <w:p w:rsidR="00AF5F19" w:rsidRPr="00AF5F19" w:rsidRDefault="00AF5F19" w:rsidP="00AF5F19">
            <w:pPr>
              <w:widowControl w:val="0"/>
              <w:spacing w:after="0" w:line="240" w:lineRule="auto"/>
              <w:ind w:leftChars="150" w:left="550" w:right="0" w:hangingChars="100" w:hanging="220"/>
              <w:rPr>
                <w:rFonts w:cs="Times New Roman"/>
                <w:color w:val="auto"/>
                <w:szCs w:val="24"/>
              </w:rPr>
            </w:pPr>
            <w:r w:rsidRPr="00AF5F19">
              <w:rPr>
                <w:rFonts w:cs="Times New Roman" w:hint="eastAsia"/>
                <w:color w:val="auto"/>
                <w:szCs w:val="24"/>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 w:val="40"/>
                <w:szCs w:val="44"/>
              </w:rPr>
            </w:pPr>
            <w:r w:rsidRPr="00AF5F19">
              <w:rPr>
                <w:rFonts w:cs="Times New Roman" w:hint="eastAsia"/>
                <w:color w:val="auto"/>
                <w:sz w:val="44"/>
                <w:szCs w:val="48"/>
              </w:rPr>
              <w:t>□</w:t>
            </w:r>
          </w:p>
        </w:tc>
      </w:tr>
    </w:tbl>
    <w:p w:rsidR="00AF5F19" w:rsidRDefault="00AF5F19" w:rsidP="00FC4D7D">
      <w:pPr>
        <w:ind w:left="9" w:hangingChars="4" w:hanging="9"/>
        <w:rPr>
          <w:rFonts w:hint="eastAsia"/>
        </w:rPr>
      </w:pPr>
      <w:bookmarkStart w:id="1" w:name="_GoBack"/>
      <w:bookmarkEnd w:id="0"/>
      <w:bookmarkEnd w:id="1"/>
    </w:p>
    <w:sectPr w:rsidR="00AF5F19" w:rsidSect="00CC4C62">
      <w:footerReference w:type="even" r:id="rId8"/>
      <w:footerReference w:type="default" r:id="rId9"/>
      <w:footerReference w:type="first" r:id="rId10"/>
      <w:pgSz w:w="11904" w:h="16840" w:code="9"/>
      <w:pgMar w:top="1440" w:right="964" w:bottom="1440"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D71" w:rsidRDefault="00F33D71">
      <w:pPr>
        <w:spacing w:after="0" w:line="240" w:lineRule="auto"/>
      </w:pPr>
      <w:r>
        <w:separator/>
      </w:r>
    </w:p>
  </w:endnote>
  <w:endnote w:type="continuationSeparator" w:id="0">
    <w:p w:rsidR="00F33D71" w:rsidRDefault="00F3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F19" w:rsidRDefault="00AF5F19">
    <w:pPr>
      <w:tabs>
        <w:tab w:val="center" w:pos="4513"/>
      </w:tabs>
      <w:spacing w:after="0" w:line="259" w:lineRule="auto"/>
      <w:ind w:left="-23"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t>10</w:t>
    </w:r>
    <w: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F19" w:rsidRDefault="00AF5F19">
    <w:pPr>
      <w:tabs>
        <w:tab w:val="center" w:pos="4513"/>
      </w:tabs>
      <w:spacing w:after="0" w:line="259" w:lineRule="auto"/>
      <w:ind w:left="-23"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F19" w:rsidRDefault="00AF5F19">
    <w:pPr>
      <w:tabs>
        <w:tab w:val="center" w:pos="4513"/>
      </w:tabs>
      <w:spacing w:after="0" w:line="259" w:lineRule="auto"/>
      <w:ind w:left="-23"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t>10</w:t>
    </w:r>
    <w: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D71" w:rsidRDefault="00F33D71">
      <w:pPr>
        <w:spacing w:after="0" w:line="240" w:lineRule="auto"/>
      </w:pPr>
      <w:r>
        <w:separator/>
      </w:r>
    </w:p>
  </w:footnote>
  <w:footnote w:type="continuationSeparator" w:id="0">
    <w:p w:rsidR="00F33D71" w:rsidRDefault="00F33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6C1"/>
    <w:multiLevelType w:val="hybridMultilevel"/>
    <w:tmpl w:val="4D3C56A6"/>
    <w:lvl w:ilvl="0" w:tplc="7ABE46AA">
      <w:start w:val="1"/>
      <w:numFmt w:val="decimal"/>
      <w:lvlText w:val="(%1)"/>
      <w:lvlJc w:val="left"/>
      <w:pPr>
        <w:ind w:left="5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B14CB88">
      <w:start w:val="1"/>
      <w:numFmt w:val="lowerLetter"/>
      <w:lvlText w:val="%2"/>
      <w:lvlJc w:val="left"/>
      <w:pPr>
        <w:ind w:left="13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147C">
      <w:start w:val="1"/>
      <w:numFmt w:val="lowerRoman"/>
      <w:lvlText w:val="%3"/>
      <w:lvlJc w:val="left"/>
      <w:pPr>
        <w:ind w:left="20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E446FA0">
      <w:start w:val="1"/>
      <w:numFmt w:val="decimal"/>
      <w:lvlText w:val="%4"/>
      <w:lvlJc w:val="left"/>
      <w:pPr>
        <w:ind w:left="27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54E8C12">
      <w:start w:val="1"/>
      <w:numFmt w:val="lowerLetter"/>
      <w:lvlText w:val="%5"/>
      <w:lvlJc w:val="left"/>
      <w:pPr>
        <w:ind w:left="34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62D53A">
      <w:start w:val="1"/>
      <w:numFmt w:val="lowerRoman"/>
      <w:lvlText w:val="%6"/>
      <w:lvlJc w:val="left"/>
      <w:pPr>
        <w:ind w:left="42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C843EA">
      <w:start w:val="1"/>
      <w:numFmt w:val="decimal"/>
      <w:lvlText w:val="%7"/>
      <w:lvlJc w:val="left"/>
      <w:pPr>
        <w:ind w:left="49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4257BE">
      <w:start w:val="1"/>
      <w:numFmt w:val="lowerLetter"/>
      <w:lvlText w:val="%8"/>
      <w:lvlJc w:val="left"/>
      <w:pPr>
        <w:ind w:left="56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BAED40">
      <w:start w:val="1"/>
      <w:numFmt w:val="lowerRoman"/>
      <w:lvlText w:val="%9"/>
      <w:lvlJc w:val="left"/>
      <w:pPr>
        <w:ind w:left="63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C97073"/>
    <w:multiLevelType w:val="hybridMultilevel"/>
    <w:tmpl w:val="8F0414DC"/>
    <w:lvl w:ilvl="0" w:tplc="8D5EDC78">
      <w:start w:val="1"/>
      <w:numFmt w:val="decimalFullWidth"/>
      <w:lvlText w:val="%1"/>
      <w:lvlJc w:val="left"/>
      <w:pPr>
        <w:ind w:left="4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72EFFFC">
      <w:start w:val="1"/>
      <w:numFmt w:val="decimal"/>
      <w:lvlText w:val="(%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1266B4">
      <w:start w:val="1"/>
      <w:numFmt w:val="aiueoFullWidth"/>
      <w:lvlText w:val="%3"/>
      <w:lvlJc w:val="left"/>
      <w:pPr>
        <w:ind w:left="1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09C4034">
      <w:start w:val="1"/>
      <w:numFmt w:val="aiueo"/>
      <w:lvlText w:val="(%4)"/>
      <w:lvlJc w:val="left"/>
      <w:pPr>
        <w:ind w:left="26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33EA02C">
      <w:start w:val="1"/>
      <w:numFmt w:val="lowerLetter"/>
      <w:lvlText w:val="%5"/>
      <w:lvlJc w:val="left"/>
      <w:pPr>
        <w:ind w:left="18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91678B6">
      <w:start w:val="1"/>
      <w:numFmt w:val="lowerRoman"/>
      <w:lvlText w:val="%6"/>
      <w:lvlJc w:val="left"/>
      <w:pPr>
        <w:ind w:left="25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0ECB854">
      <w:start w:val="1"/>
      <w:numFmt w:val="decimal"/>
      <w:lvlText w:val="%7"/>
      <w:lvlJc w:val="left"/>
      <w:pPr>
        <w:ind w:left="32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7B2454C">
      <w:start w:val="1"/>
      <w:numFmt w:val="lowerLetter"/>
      <w:lvlText w:val="%8"/>
      <w:lvlJc w:val="left"/>
      <w:pPr>
        <w:ind w:left="39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38C47F0">
      <w:start w:val="1"/>
      <w:numFmt w:val="lowerRoman"/>
      <w:lvlText w:val="%9"/>
      <w:lvlJc w:val="left"/>
      <w:pPr>
        <w:ind w:left="46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435B32"/>
    <w:multiLevelType w:val="hybridMultilevel"/>
    <w:tmpl w:val="A296D292"/>
    <w:lvl w:ilvl="0" w:tplc="A83EFF06">
      <w:start w:val="1"/>
      <w:numFmt w:val="decimalFullWidth"/>
      <w:lvlText w:val="%1"/>
      <w:lvlJc w:val="left"/>
      <w:pPr>
        <w:ind w:left="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2446838">
      <w:start w:val="1"/>
      <w:numFmt w:val="lowerLetter"/>
      <w:lvlText w:val="%2"/>
      <w:lvlJc w:val="left"/>
      <w:pPr>
        <w:ind w:left="1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162608">
      <w:start w:val="1"/>
      <w:numFmt w:val="lowerRoman"/>
      <w:lvlText w:val="%3"/>
      <w:lvlJc w:val="left"/>
      <w:pPr>
        <w:ind w:left="21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0BEE294">
      <w:start w:val="1"/>
      <w:numFmt w:val="decimal"/>
      <w:lvlText w:val="%4"/>
      <w:lvlJc w:val="left"/>
      <w:pPr>
        <w:ind w:left="28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4EE1192">
      <w:start w:val="1"/>
      <w:numFmt w:val="lowerLetter"/>
      <w:lvlText w:val="%5"/>
      <w:lvlJc w:val="left"/>
      <w:pPr>
        <w:ind w:left="35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BCD474">
      <w:start w:val="1"/>
      <w:numFmt w:val="lowerRoman"/>
      <w:lvlText w:val="%6"/>
      <w:lvlJc w:val="left"/>
      <w:pPr>
        <w:ind w:left="42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ECD8E6">
      <w:start w:val="1"/>
      <w:numFmt w:val="decimal"/>
      <w:lvlText w:val="%7"/>
      <w:lvlJc w:val="left"/>
      <w:pPr>
        <w:ind w:left="49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D028670">
      <w:start w:val="1"/>
      <w:numFmt w:val="lowerLetter"/>
      <w:lvlText w:val="%8"/>
      <w:lvlJc w:val="left"/>
      <w:pPr>
        <w:ind w:left="57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8D2C538">
      <w:start w:val="1"/>
      <w:numFmt w:val="lowerRoman"/>
      <w:lvlText w:val="%9"/>
      <w:lvlJc w:val="left"/>
      <w:pPr>
        <w:ind w:left="64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0C69ED"/>
    <w:multiLevelType w:val="hybridMultilevel"/>
    <w:tmpl w:val="F5D241FE"/>
    <w:lvl w:ilvl="0" w:tplc="238E6D9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509C7E">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41816">
      <w:start w:val="1"/>
      <w:numFmt w:val="lowerRoman"/>
      <w:lvlText w:val="%3"/>
      <w:lvlJc w:val="left"/>
      <w:pPr>
        <w:ind w:left="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483B16">
      <w:start w:val="1"/>
      <w:numFmt w:val="aiueo"/>
      <w:lvlRestart w:val="0"/>
      <w:lvlText w:val="(%4)"/>
      <w:lvlJc w:val="left"/>
      <w:pPr>
        <w:ind w:left="1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4AD78">
      <w:start w:val="1"/>
      <w:numFmt w:val="lowerLetter"/>
      <w:lvlText w:val="%5"/>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5421D6">
      <w:start w:val="1"/>
      <w:numFmt w:val="lowerRoman"/>
      <w:lvlText w:val="%6"/>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346352">
      <w:start w:val="1"/>
      <w:numFmt w:val="decimal"/>
      <w:lvlText w:val="%7"/>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F04744">
      <w:start w:val="1"/>
      <w:numFmt w:val="lowerLetter"/>
      <w:lvlText w:val="%8"/>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2AF938">
      <w:start w:val="1"/>
      <w:numFmt w:val="lowerRoman"/>
      <w:lvlText w:val="%9"/>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8F74EE"/>
    <w:multiLevelType w:val="hybridMultilevel"/>
    <w:tmpl w:val="34506232"/>
    <w:lvl w:ilvl="0" w:tplc="ACB06108">
      <w:start w:val="2"/>
      <w:numFmt w:val="decimalFullWidth"/>
      <w:lvlText w:val="%1"/>
      <w:lvlJc w:val="left"/>
      <w:pPr>
        <w:ind w:left="1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F6C1AE">
      <w:start w:val="1"/>
      <w:numFmt w:val="lowerLetter"/>
      <w:lvlText w:val="%2"/>
      <w:lvlJc w:val="left"/>
      <w:pPr>
        <w:ind w:left="2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24A78C8">
      <w:start w:val="1"/>
      <w:numFmt w:val="lowerRoman"/>
      <w:lvlText w:val="%3"/>
      <w:lvlJc w:val="left"/>
      <w:pPr>
        <w:ind w:left="27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146D92C">
      <w:start w:val="1"/>
      <w:numFmt w:val="decimal"/>
      <w:lvlText w:val="%4"/>
      <w:lvlJc w:val="left"/>
      <w:pPr>
        <w:ind w:left="35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B32722C">
      <w:start w:val="1"/>
      <w:numFmt w:val="lowerLetter"/>
      <w:lvlText w:val="%5"/>
      <w:lvlJc w:val="left"/>
      <w:pPr>
        <w:ind w:left="42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409E4E">
      <w:start w:val="1"/>
      <w:numFmt w:val="lowerRoman"/>
      <w:lvlText w:val="%6"/>
      <w:lvlJc w:val="left"/>
      <w:pPr>
        <w:ind w:left="4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89A0096">
      <w:start w:val="1"/>
      <w:numFmt w:val="decimal"/>
      <w:lvlText w:val="%7"/>
      <w:lvlJc w:val="left"/>
      <w:pPr>
        <w:ind w:left="5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066C1AC">
      <w:start w:val="1"/>
      <w:numFmt w:val="lowerLetter"/>
      <w:lvlText w:val="%8"/>
      <w:lvlJc w:val="left"/>
      <w:pPr>
        <w:ind w:left="6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566855E">
      <w:start w:val="1"/>
      <w:numFmt w:val="lowerRoman"/>
      <w:lvlText w:val="%9"/>
      <w:lvlJc w:val="left"/>
      <w:pPr>
        <w:ind w:left="71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7D1784"/>
    <w:multiLevelType w:val="hybridMultilevel"/>
    <w:tmpl w:val="8D50AFF8"/>
    <w:lvl w:ilvl="0" w:tplc="7076C56A">
      <w:start w:val="1"/>
      <w:numFmt w:val="decimalFullWidth"/>
      <w:lvlText w:val="%1"/>
      <w:lvlJc w:val="left"/>
      <w:pPr>
        <w:ind w:left="7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800CA6">
      <w:start w:val="1"/>
      <w:numFmt w:val="lowerLetter"/>
      <w:lvlText w:val="%2"/>
      <w:lvlJc w:val="left"/>
      <w:pPr>
        <w:ind w:left="13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F6E0E46">
      <w:start w:val="1"/>
      <w:numFmt w:val="lowerRoman"/>
      <w:lvlText w:val="%3"/>
      <w:lvlJc w:val="left"/>
      <w:pPr>
        <w:ind w:left="21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F667BA">
      <w:start w:val="1"/>
      <w:numFmt w:val="decimal"/>
      <w:lvlText w:val="%4"/>
      <w:lvlJc w:val="left"/>
      <w:pPr>
        <w:ind w:left="28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5D644E4">
      <w:start w:val="1"/>
      <w:numFmt w:val="lowerLetter"/>
      <w:lvlText w:val="%5"/>
      <w:lvlJc w:val="left"/>
      <w:pPr>
        <w:ind w:left="35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3F871FA">
      <w:start w:val="1"/>
      <w:numFmt w:val="lowerRoman"/>
      <w:lvlText w:val="%6"/>
      <w:lvlJc w:val="left"/>
      <w:pPr>
        <w:ind w:left="4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F6243CE">
      <w:start w:val="1"/>
      <w:numFmt w:val="decimal"/>
      <w:lvlText w:val="%7"/>
      <w:lvlJc w:val="left"/>
      <w:pPr>
        <w:ind w:left="4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8DABB30">
      <w:start w:val="1"/>
      <w:numFmt w:val="lowerLetter"/>
      <w:lvlText w:val="%8"/>
      <w:lvlJc w:val="left"/>
      <w:pPr>
        <w:ind w:left="5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1620432">
      <w:start w:val="1"/>
      <w:numFmt w:val="lowerRoman"/>
      <w:lvlText w:val="%9"/>
      <w:lvlJc w:val="left"/>
      <w:pPr>
        <w:ind w:left="6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1F1"/>
    <w:rsid w:val="00006C14"/>
    <w:rsid w:val="00067A71"/>
    <w:rsid w:val="000A3D93"/>
    <w:rsid w:val="001213BE"/>
    <w:rsid w:val="00163301"/>
    <w:rsid w:val="001E6454"/>
    <w:rsid w:val="00296605"/>
    <w:rsid w:val="002D2616"/>
    <w:rsid w:val="002E197D"/>
    <w:rsid w:val="00351711"/>
    <w:rsid w:val="0037477A"/>
    <w:rsid w:val="004562DB"/>
    <w:rsid w:val="004603C0"/>
    <w:rsid w:val="00585E8C"/>
    <w:rsid w:val="005E3DE5"/>
    <w:rsid w:val="00615854"/>
    <w:rsid w:val="00783F97"/>
    <w:rsid w:val="00787970"/>
    <w:rsid w:val="00803BB2"/>
    <w:rsid w:val="00847581"/>
    <w:rsid w:val="008711F1"/>
    <w:rsid w:val="00911CC9"/>
    <w:rsid w:val="00932FE8"/>
    <w:rsid w:val="009873D8"/>
    <w:rsid w:val="00A03842"/>
    <w:rsid w:val="00A3359D"/>
    <w:rsid w:val="00A3464E"/>
    <w:rsid w:val="00AA31F9"/>
    <w:rsid w:val="00AF5F19"/>
    <w:rsid w:val="00B41AD9"/>
    <w:rsid w:val="00CB0341"/>
    <w:rsid w:val="00CC4C62"/>
    <w:rsid w:val="00CD18A5"/>
    <w:rsid w:val="00DC54FF"/>
    <w:rsid w:val="00E25219"/>
    <w:rsid w:val="00EA0B99"/>
    <w:rsid w:val="00F33D71"/>
    <w:rsid w:val="00FC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68B3F5"/>
  <w15:docId w15:val="{A9CE57F8-1D0A-4DC2-AF1C-46419114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1" w:line="289" w:lineRule="auto"/>
      <w:ind w:left="10" w:right="122"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164" w:line="259" w:lineRule="auto"/>
      <w:ind w:left="11" w:hanging="10"/>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E197D"/>
    <w:pPr>
      <w:tabs>
        <w:tab w:val="center" w:pos="4252"/>
        <w:tab w:val="right" w:pos="8504"/>
      </w:tabs>
      <w:snapToGrid w:val="0"/>
    </w:pPr>
  </w:style>
  <w:style w:type="character" w:customStyle="1" w:styleId="a4">
    <w:name w:val="ヘッダー (文字)"/>
    <w:basedOn w:val="a0"/>
    <w:link w:val="a3"/>
    <w:uiPriority w:val="99"/>
    <w:rsid w:val="002E197D"/>
    <w:rPr>
      <w:rFonts w:ascii="ＭＳ 明朝" w:eastAsia="ＭＳ 明朝" w:hAnsi="ＭＳ 明朝" w:cs="ＭＳ 明朝"/>
      <w:color w:val="000000"/>
      <w:sz w:val="22"/>
    </w:rPr>
  </w:style>
  <w:style w:type="table" w:customStyle="1" w:styleId="11">
    <w:name w:val="表 (格子)1"/>
    <w:basedOn w:val="a1"/>
    <w:next w:val="a5"/>
    <w:uiPriority w:val="39"/>
    <w:rsid w:val="00AF5F19"/>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AF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AF5F19"/>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27542">
      <w:bodyDiv w:val="1"/>
      <w:marLeft w:val="0"/>
      <w:marRight w:val="0"/>
      <w:marTop w:val="0"/>
      <w:marBottom w:val="0"/>
      <w:divBdr>
        <w:top w:val="none" w:sz="0" w:space="0" w:color="auto"/>
        <w:left w:val="none" w:sz="0" w:space="0" w:color="auto"/>
        <w:bottom w:val="none" w:sz="0" w:space="0" w:color="auto"/>
        <w:right w:val="none" w:sz="0" w:space="0" w:color="auto"/>
      </w:divBdr>
    </w:div>
    <w:div w:id="1441149756">
      <w:bodyDiv w:val="1"/>
      <w:marLeft w:val="0"/>
      <w:marRight w:val="0"/>
      <w:marTop w:val="0"/>
      <w:marBottom w:val="0"/>
      <w:divBdr>
        <w:top w:val="none" w:sz="0" w:space="0" w:color="auto"/>
        <w:left w:val="none" w:sz="0" w:space="0" w:color="auto"/>
        <w:bottom w:val="none" w:sz="0" w:space="0" w:color="auto"/>
        <w:right w:val="none" w:sz="0" w:space="0" w:color="auto"/>
      </w:divBdr>
    </w:div>
    <w:div w:id="1539121091">
      <w:bodyDiv w:val="1"/>
      <w:marLeft w:val="0"/>
      <w:marRight w:val="0"/>
      <w:marTop w:val="0"/>
      <w:marBottom w:val="0"/>
      <w:divBdr>
        <w:top w:val="none" w:sz="0" w:space="0" w:color="auto"/>
        <w:left w:val="none" w:sz="0" w:space="0" w:color="auto"/>
        <w:bottom w:val="none" w:sz="0" w:space="0" w:color="auto"/>
        <w:right w:val="none" w:sz="0" w:space="0" w:color="auto"/>
      </w:divBdr>
    </w:div>
    <w:div w:id="189473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C2DCB-F825-4C05-8AF0-3A25D12F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&lt;4D6963726F736F667420576F7264202D208179976E82AF8D9E82DD94C5817A94B08DCC8B7982D194B08DCC8CE382CC91A297D182CC93CD8F6F939982CC90A7937882CC895E977082C982C282A282C48169967B95B6817B976C8EAE816A2E646F63&gt;</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&lt;4D6963726F736F667420576F7264202D208179976E82AF8D9E82DD94C5817A94B08DCC8B7982D194B08DCC8CE382CC91A297D182CC93CD8F6F939982CC90A7937882CC895E977082C982C282A282C48169967B95B6817B976C8EAE816A2E646F63&gt;</dc:title>
  <dc:subject/>
  <dc:creator>koichi_goto700</dc:creator>
  <cp:keywords/>
  <dc:description/>
  <cp:lastModifiedBy>norin01</cp:lastModifiedBy>
  <cp:revision>2</cp:revision>
  <cp:lastPrinted>2022-04-01T01:24:00Z</cp:lastPrinted>
  <dcterms:created xsi:type="dcterms:W3CDTF">2022-04-01T02:34:00Z</dcterms:created>
  <dcterms:modified xsi:type="dcterms:W3CDTF">2022-04-01T02:34:00Z</dcterms:modified>
</cp:coreProperties>
</file>